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38" w:rsidRPr="007E7CA3" w:rsidRDefault="007E7CA3" w:rsidP="007E7CA3">
      <w:pPr>
        <w:pStyle w:val="Titolo2"/>
        <w:ind w:right="-76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E7CA3">
        <w:rPr>
          <w:rFonts w:asciiTheme="minorHAnsi" w:hAnsiTheme="minorHAnsi" w:cstheme="minorHAnsi"/>
          <w:b w:val="0"/>
          <w:sz w:val="22"/>
          <w:szCs w:val="22"/>
        </w:rPr>
        <w:t>Ai GENITORI</w:t>
      </w:r>
    </w:p>
    <w:p w:rsidR="007E7CA3" w:rsidRPr="007E7CA3" w:rsidRDefault="007E7CA3" w:rsidP="007E7CA3">
      <w:pPr>
        <w:pStyle w:val="normal"/>
        <w:jc w:val="right"/>
        <w:rPr>
          <w:rFonts w:asciiTheme="minorHAnsi" w:hAnsiTheme="minorHAnsi" w:cstheme="minorHAnsi"/>
        </w:rPr>
      </w:pPr>
      <w:r w:rsidRPr="007E7CA3">
        <w:rPr>
          <w:rFonts w:asciiTheme="minorHAnsi" w:hAnsiTheme="minorHAnsi" w:cstheme="minorHAnsi"/>
        </w:rPr>
        <w:t>AI DOCENTI</w:t>
      </w:r>
    </w:p>
    <w:p w:rsidR="0047580B" w:rsidRPr="0047580B" w:rsidRDefault="007E7CA3" w:rsidP="0047580B">
      <w:pPr>
        <w:pStyle w:val="Titolo2"/>
        <w:ind w:right="-76"/>
        <w:rPr>
          <w:sz w:val="23"/>
          <w:szCs w:val="23"/>
        </w:rPr>
      </w:pPr>
      <w:r w:rsidRPr="00042518">
        <w:rPr>
          <w:rFonts w:ascii="Garamond" w:hAnsi="Garamond"/>
          <w:sz w:val="24"/>
          <w:szCs w:val="24"/>
        </w:rPr>
        <w:t>Oggetto:</w:t>
      </w:r>
      <w:r w:rsidR="00042518">
        <w:rPr>
          <w:rFonts w:ascii="Garamond" w:hAnsi="Garamond"/>
          <w:sz w:val="24"/>
          <w:szCs w:val="24"/>
        </w:rPr>
        <w:t xml:space="preserve">  </w:t>
      </w:r>
      <w:bookmarkStart w:id="0" w:name="_Hlk80722858"/>
      <w:r w:rsidR="0047580B">
        <w:rPr>
          <w:b w:val="0"/>
          <w:bCs/>
          <w:sz w:val="23"/>
          <w:szCs w:val="23"/>
        </w:rPr>
        <w:t>COVID-19 – Aggiornamento modalità di gestione dei casi e dei contatti stretti di caso – Circolare Ministero della Salute 37615 del 31.08.2022 – Notifica – Aggiornamento indicazioni operative.</w:t>
      </w:r>
      <w:r w:rsidR="00837A29" w:rsidRPr="00837A29">
        <w:rPr>
          <w:rFonts w:ascii="Arial" w:hAnsi="Arial" w:cs="Arial"/>
          <w:color w:val="FF0000"/>
          <w:sz w:val="16"/>
          <w:szCs w:val="16"/>
        </w:rPr>
        <w:t xml:space="preserve"> </w:t>
      </w:r>
      <w:r w:rsidR="00837A29">
        <w:rPr>
          <w:rFonts w:ascii="Arial" w:hAnsi="Arial" w:cs="Arial"/>
          <w:color w:val="FF0000"/>
          <w:sz w:val="16"/>
          <w:szCs w:val="16"/>
        </w:rPr>
        <w:t>PROT/01/09/2022/0005849</w:t>
      </w:r>
    </w:p>
    <w:p w:rsidR="0047580B" w:rsidRDefault="0047580B" w:rsidP="0047580B">
      <w:pPr>
        <w:pStyle w:val="Default"/>
      </w:pPr>
    </w:p>
    <w:p w:rsidR="0047580B" w:rsidRDefault="0047580B" w:rsidP="0047580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Si comunica che, con circolare prot. 37615 del 31.08.2022 – qui trasmessa in allegato – il Ministero della Salute in considerazione dell’attuale evoluzione del quadro clinico dei casi di malattia COVID-19, ha aggiornato le indicazioni sulla gestione dei casi COVID-19. </w:t>
      </w:r>
    </w:p>
    <w:p w:rsidR="0047580B" w:rsidRDefault="0047580B" w:rsidP="0047580B">
      <w:pPr>
        <w:pStyle w:val="normal"/>
      </w:pPr>
      <w:r>
        <w:t>Si fa presente che, con  riferimento alla circolare prot. 1998 del 19.08.2022 con la quale il Ministero dell’Istruzione ha impartito ai Dirigenti scolastici e ai Direttori degli Uffici scolastici regionali le indicazioni circa le azioni da intraprendere per il contenimento dell’infezione da SARS-CoV-2 in ambito scolastico per l’anno scolastico 2022-2023 sulla base del quadro normativo vigente concernente le misure di sicurezza anti contagio da COVID-19, in relazione agli effetti della cessazione dello stato di emergenza, a tale riguardo, è stata già inviata nota di questo Dipartimento avente prot. AOO/005/5824 del 01.09.2022.</w:t>
      </w:r>
    </w:p>
    <w:p w:rsidR="0047580B" w:rsidRDefault="0047580B" w:rsidP="0047580B">
      <w:pPr>
        <w:pStyle w:val="normal"/>
      </w:pPr>
      <w:r>
        <w:t xml:space="preserve">Pertanto la presente aggiorna le indicazioni operative di cui alla nota del Dipartimento </w:t>
      </w:r>
      <w:r>
        <w:rPr>
          <w:b/>
          <w:bCs/>
          <w:color w:val="001F5F"/>
          <w:sz w:val="23"/>
          <w:szCs w:val="23"/>
        </w:rPr>
        <w:t xml:space="preserve">PROMOZIONE DELLA SALUTE E DEL BENESSERE ANIMALE  regione Puglia, </w:t>
      </w:r>
      <w:r>
        <w:t>avente prot. AOO/005/2380 del 22.03.2022.</w:t>
      </w:r>
    </w:p>
    <w:p w:rsidR="0047580B" w:rsidRPr="00F61166" w:rsidRDefault="0047580B" w:rsidP="0047580B">
      <w:pPr>
        <w:pStyle w:val="Default"/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Le </w:t>
      </w:r>
      <w:r w:rsidRPr="00F61166">
        <w:rPr>
          <w:sz w:val="21"/>
          <w:szCs w:val="21"/>
          <w:u w:val="single"/>
        </w:rPr>
        <w:t xml:space="preserve">persone sottoposte alla </w:t>
      </w:r>
      <w:r w:rsidRPr="00F61166">
        <w:rPr>
          <w:b/>
          <w:bCs/>
          <w:sz w:val="21"/>
          <w:szCs w:val="21"/>
          <w:u w:val="single"/>
        </w:rPr>
        <w:t xml:space="preserve">misura dell’isolamento </w:t>
      </w:r>
      <w:r>
        <w:rPr>
          <w:sz w:val="21"/>
          <w:szCs w:val="21"/>
        </w:rPr>
        <w:t xml:space="preserve">per provvedimento, adottato dai Servizi dei Dipartimenti di Prevenzione delle Aziende Sanitarie Locali, </w:t>
      </w:r>
      <w:r w:rsidRPr="00F61166">
        <w:rPr>
          <w:b/>
          <w:sz w:val="21"/>
          <w:szCs w:val="21"/>
          <w:u w:val="single"/>
        </w:rPr>
        <w:t xml:space="preserve">conseguente all’esito positivo di un </w:t>
      </w:r>
      <w:r w:rsidRPr="00F61166">
        <w:rPr>
          <w:b/>
          <w:i/>
          <w:iCs/>
          <w:sz w:val="21"/>
          <w:szCs w:val="21"/>
          <w:u w:val="single"/>
        </w:rPr>
        <w:t xml:space="preserve">test </w:t>
      </w:r>
      <w:r w:rsidRPr="00F61166">
        <w:rPr>
          <w:b/>
          <w:sz w:val="21"/>
          <w:szCs w:val="21"/>
          <w:u w:val="single"/>
        </w:rPr>
        <w:t xml:space="preserve">antigenico rapido o molecolare per SARS-CoV-2 effettuato presso uno degli erogatori facenti parte della rete Regionale SARS-CoV-2, </w:t>
      </w:r>
      <w:r w:rsidRPr="00F61166">
        <w:rPr>
          <w:b/>
          <w:bCs/>
          <w:sz w:val="21"/>
          <w:szCs w:val="21"/>
          <w:u w:val="single"/>
        </w:rPr>
        <w:t xml:space="preserve">devono osservare </w:t>
      </w:r>
      <w:r w:rsidRPr="00F61166">
        <w:rPr>
          <w:b/>
          <w:sz w:val="21"/>
          <w:szCs w:val="21"/>
          <w:u w:val="single"/>
        </w:rPr>
        <w:t xml:space="preserve">il divieto di mobilità dalla propria abitazione o dimora fino all’accertamento della guarigione. </w:t>
      </w:r>
    </w:p>
    <w:p w:rsidR="00D2779E" w:rsidRDefault="0047580B" w:rsidP="0047580B">
      <w:pPr>
        <w:pStyle w:val="normal"/>
      </w:pPr>
      <w:r>
        <w:t xml:space="preserve">Le persone </w:t>
      </w:r>
      <w:r>
        <w:rPr>
          <w:b/>
          <w:bCs/>
        </w:rPr>
        <w:t xml:space="preserve">risultate positive </w:t>
      </w:r>
      <w:r>
        <w:t xml:space="preserve">ad un </w:t>
      </w:r>
      <w:r>
        <w:rPr>
          <w:i/>
          <w:iCs/>
        </w:rPr>
        <w:t xml:space="preserve">test </w:t>
      </w:r>
      <w:r>
        <w:rPr>
          <w:b/>
          <w:bCs/>
        </w:rPr>
        <w:t xml:space="preserve">diagnostico molecolare </w:t>
      </w:r>
      <w:r>
        <w:t xml:space="preserve">o </w:t>
      </w:r>
      <w:r>
        <w:rPr>
          <w:b/>
          <w:bCs/>
        </w:rPr>
        <w:t xml:space="preserve">antigenico rapido </w:t>
      </w:r>
      <w:r>
        <w:t xml:space="preserve">per SARS-CoV-2 </w:t>
      </w:r>
      <w:r>
        <w:rPr>
          <w:b/>
          <w:bCs/>
        </w:rPr>
        <w:t>sono sottoposte alla misura dell’isolamento</w:t>
      </w:r>
      <w:r>
        <w:t>, con le modalità di seguito riportate:</w:t>
      </w:r>
    </w:p>
    <w:p w:rsidR="00F61166" w:rsidRPr="008D1AC3" w:rsidRDefault="00F61166" w:rsidP="00F61166">
      <w:pPr>
        <w:pStyle w:val="Default"/>
        <w:rPr>
          <w:b/>
        </w:rPr>
      </w:pPr>
      <w:r>
        <w:rPr>
          <w:b/>
        </w:rPr>
        <w:t>GESTIONE DEI CASI</w:t>
      </w:r>
    </w:p>
    <w:p w:rsidR="00F61166" w:rsidRPr="00F61166" w:rsidRDefault="00F61166" w:rsidP="00F61166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La gestione dei casi </w:t>
      </w:r>
      <w:r w:rsidRPr="00F61166">
        <w:rPr>
          <w:b/>
          <w:sz w:val="22"/>
          <w:szCs w:val="22"/>
          <w:u w:val="single"/>
        </w:rPr>
        <w:t>di soggetti sintomatici</w:t>
      </w:r>
      <w:r>
        <w:rPr>
          <w:sz w:val="22"/>
          <w:szCs w:val="22"/>
        </w:rPr>
        <w:t xml:space="preserve">  è affidata  ai Medici di Medicina Generale e dei Pediatri di Libera Scelta.</w:t>
      </w:r>
    </w:p>
    <w:p w:rsidR="00F61166" w:rsidRDefault="00F61166" w:rsidP="00F61166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La gestione dei casi di </w:t>
      </w:r>
      <w:r w:rsidRPr="00F61166">
        <w:rPr>
          <w:b/>
          <w:sz w:val="22"/>
          <w:szCs w:val="22"/>
          <w:u w:val="single"/>
        </w:rPr>
        <w:t>soggetti asintomatici</w:t>
      </w:r>
      <w:r>
        <w:rPr>
          <w:sz w:val="22"/>
          <w:szCs w:val="22"/>
        </w:rPr>
        <w:t xml:space="preserve"> risultati positivi a </w:t>
      </w:r>
      <w:r>
        <w:rPr>
          <w:i/>
          <w:iCs/>
          <w:sz w:val="22"/>
          <w:szCs w:val="22"/>
        </w:rPr>
        <w:t xml:space="preserve">test </w:t>
      </w:r>
      <w:r>
        <w:rPr>
          <w:sz w:val="22"/>
          <w:szCs w:val="22"/>
        </w:rPr>
        <w:t xml:space="preserve">antigenici rapidi o molecolari eseguiti presso una delle strutture ammesse a far parte della rete Regionale SARS-CoV-2, con produzione automatizzata del provvedimento di isolamento, della richiesta di esecuzione del </w:t>
      </w:r>
      <w:r>
        <w:rPr>
          <w:i/>
          <w:iCs/>
          <w:sz w:val="22"/>
          <w:szCs w:val="22"/>
        </w:rPr>
        <w:t xml:space="preserve">test </w:t>
      </w:r>
      <w:r>
        <w:rPr>
          <w:sz w:val="22"/>
          <w:szCs w:val="22"/>
        </w:rPr>
        <w:t xml:space="preserve">antigenico rapido di accertamento della guarigione, avviene  secondo le tempistiche definite dalle circolari del Ministero della Salute e sopra riportate,  sino al provvedimento di fine isolamento in caso di esito negativo al </w:t>
      </w:r>
      <w:r>
        <w:rPr>
          <w:i/>
          <w:iCs/>
          <w:sz w:val="22"/>
          <w:szCs w:val="22"/>
        </w:rPr>
        <w:t>test</w:t>
      </w:r>
      <w:r>
        <w:rPr>
          <w:sz w:val="22"/>
          <w:szCs w:val="22"/>
        </w:rPr>
        <w:t xml:space="preserve">. </w:t>
      </w:r>
    </w:p>
    <w:p w:rsidR="00F61166" w:rsidRDefault="00F61166" w:rsidP="00F61166">
      <w:pPr>
        <w:pStyle w:val="Default"/>
        <w:rPr>
          <w:b/>
        </w:rPr>
      </w:pPr>
    </w:p>
    <w:p w:rsidR="00F61166" w:rsidRPr="00F61166" w:rsidRDefault="00F61166" w:rsidP="00F61166">
      <w:pPr>
        <w:pStyle w:val="Default"/>
        <w:rPr>
          <w:b/>
        </w:rPr>
      </w:pPr>
      <w:r w:rsidRPr="00F61166">
        <w:rPr>
          <w:b/>
        </w:rPr>
        <w:t>ISOLAMENTO</w:t>
      </w:r>
    </w:p>
    <w:p w:rsidR="00F61166" w:rsidRDefault="00F61166" w:rsidP="00F611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per i casi che sono sempre stati </w:t>
      </w:r>
      <w:r w:rsidRPr="00F61166">
        <w:rPr>
          <w:b/>
          <w:bCs/>
          <w:sz w:val="22"/>
          <w:szCs w:val="22"/>
          <w:u w:val="single"/>
        </w:rPr>
        <w:t xml:space="preserve">asintomatici </w:t>
      </w:r>
      <w:r w:rsidRPr="00F61166">
        <w:rPr>
          <w:sz w:val="22"/>
          <w:szCs w:val="22"/>
          <w:u w:val="single"/>
        </w:rPr>
        <w:t xml:space="preserve">oppure che sono stati </w:t>
      </w:r>
      <w:r w:rsidRPr="00F61166">
        <w:rPr>
          <w:b/>
          <w:bCs/>
          <w:sz w:val="22"/>
          <w:szCs w:val="22"/>
          <w:u w:val="single"/>
        </w:rPr>
        <w:t xml:space="preserve">dapprima sintomatici </w:t>
      </w:r>
      <w:r w:rsidRPr="00F61166">
        <w:rPr>
          <w:sz w:val="22"/>
          <w:szCs w:val="22"/>
          <w:u w:val="single"/>
        </w:rPr>
        <w:t xml:space="preserve">ma risultano </w:t>
      </w:r>
      <w:r w:rsidRPr="00F61166">
        <w:rPr>
          <w:b/>
          <w:bCs/>
          <w:sz w:val="22"/>
          <w:szCs w:val="22"/>
          <w:u w:val="single"/>
        </w:rPr>
        <w:t>asintomatici da almeno 2 giorni</w:t>
      </w:r>
      <w:r w:rsidRPr="00F61166">
        <w:rPr>
          <w:sz w:val="22"/>
          <w:szCs w:val="22"/>
          <w:u w:val="single"/>
        </w:rPr>
        <w:t xml:space="preserve">, </w:t>
      </w:r>
      <w:r w:rsidRPr="00F61166">
        <w:rPr>
          <w:b/>
          <w:bCs/>
          <w:sz w:val="22"/>
          <w:szCs w:val="22"/>
          <w:u w:val="single"/>
        </w:rPr>
        <w:t xml:space="preserve">l’isolamento </w:t>
      </w:r>
      <w:r w:rsidRPr="00F61166">
        <w:rPr>
          <w:sz w:val="22"/>
          <w:szCs w:val="22"/>
          <w:u w:val="single"/>
        </w:rPr>
        <w:t xml:space="preserve">potrà terminare </w:t>
      </w:r>
      <w:r w:rsidRPr="00F61166">
        <w:rPr>
          <w:b/>
          <w:bCs/>
          <w:sz w:val="22"/>
          <w:szCs w:val="22"/>
          <w:u w:val="single"/>
        </w:rPr>
        <w:t xml:space="preserve">dopo 5 giorni </w:t>
      </w:r>
      <w:r w:rsidRPr="00F61166">
        <w:rPr>
          <w:sz w:val="22"/>
          <w:szCs w:val="22"/>
          <w:u w:val="single"/>
        </w:rPr>
        <w:t>dalla positività</w:t>
      </w:r>
      <w:r>
        <w:rPr>
          <w:sz w:val="22"/>
          <w:szCs w:val="22"/>
        </w:rPr>
        <w:t xml:space="preserve">, purché venga effettuato al </w:t>
      </w:r>
      <w:r w:rsidRPr="00F61166">
        <w:rPr>
          <w:b/>
          <w:sz w:val="22"/>
          <w:szCs w:val="22"/>
          <w:u w:val="single"/>
        </w:rPr>
        <w:t xml:space="preserve">termine del periodo d’isolamento, un </w:t>
      </w:r>
      <w:r w:rsidRPr="00F61166">
        <w:rPr>
          <w:b/>
          <w:i/>
          <w:iCs/>
          <w:sz w:val="22"/>
          <w:szCs w:val="22"/>
          <w:u w:val="single"/>
        </w:rPr>
        <w:t>test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antigenico rapido o molecolare presso uno degli erogatori della rete regionale SARS-CoV-2 e </w:t>
      </w:r>
      <w:r w:rsidRPr="00F61166">
        <w:rPr>
          <w:b/>
          <w:sz w:val="22"/>
          <w:szCs w:val="22"/>
          <w:u w:val="single"/>
        </w:rPr>
        <w:t xml:space="preserve">purché l’esito risulti </w:t>
      </w:r>
      <w:r w:rsidRPr="00F61166">
        <w:rPr>
          <w:b/>
          <w:bCs/>
          <w:sz w:val="22"/>
          <w:szCs w:val="22"/>
          <w:u w:val="single"/>
        </w:rPr>
        <w:t>negativo</w:t>
      </w:r>
      <w:r>
        <w:rPr>
          <w:sz w:val="22"/>
          <w:szCs w:val="22"/>
        </w:rPr>
        <w:t xml:space="preserve">; </w:t>
      </w:r>
    </w:p>
    <w:p w:rsidR="00F61166" w:rsidRDefault="00F61166" w:rsidP="00F61166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b) </w:t>
      </w:r>
      <w:r w:rsidRPr="00F61166">
        <w:rPr>
          <w:b/>
          <w:sz w:val="22"/>
          <w:szCs w:val="22"/>
          <w:u w:val="single"/>
        </w:rPr>
        <w:t xml:space="preserve">in caso di </w:t>
      </w:r>
      <w:r w:rsidRPr="00F61166">
        <w:rPr>
          <w:b/>
          <w:bCs/>
          <w:sz w:val="22"/>
          <w:szCs w:val="22"/>
          <w:u w:val="single"/>
        </w:rPr>
        <w:t xml:space="preserve">positività persistente </w:t>
      </w:r>
      <w:r w:rsidRPr="00F61166">
        <w:rPr>
          <w:b/>
          <w:sz w:val="22"/>
          <w:szCs w:val="22"/>
          <w:u w:val="single"/>
        </w:rPr>
        <w:t xml:space="preserve">(cd. positivi a lungo termine), l’isolamento potrà essere interrotto </w:t>
      </w:r>
      <w:r w:rsidRPr="00F61166">
        <w:rPr>
          <w:b/>
          <w:bCs/>
          <w:sz w:val="22"/>
          <w:szCs w:val="22"/>
          <w:u w:val="single"/>
        </w:rPr>
        <w:t xml:space="preserve">al termine del 14° giorno dal primo </w:t>
      </w:r>
      <w:r w:rsidRPr="00F61166">
        <w:rPr>
          <w:b/>
          <w:bCs/>
          <w:i/>
          <w:iCs/>
          <w:sz w:val="22"/>
          <w:szCs w:val="22"/>
          <w:u w:val="single"/>
        </w:rPr>
        <w:t xml:space="preserve">test </w:t>
      </w:r>
      <w:r w:rsidRPr="00F61166">
        <w:rPr>
          <w:b/>
          <w:bCs/>
          <w:sz w:val="22"/>
          <w:szCs w:val="22"/>
          <w:u w:val="single"/>
        </w:rPr>
        <w:t>positivo</w:t>
      </w:r>
      <w:r w:rsidRPr="00F61166">
        <w:rPr>
          <w:b/>
          <w:sz w:val="22"/>
          <w:szCs w:val="22"/>
          <w:u w:val="single"/>
        </w:rPr>
        <w:t xml:space="preserve">, a prescindere dall’effettuazione del </w:t>
      </w:r>
      <w:r w:rsidRPr="00F61166">
        <w:rPr>
          <w:b/>
          <w:i/>
          <w:iCs/>
          <w:sz w:val="22"/>
          <w:szCs w:val="22"/>
          <w:u w:val="single"/>
        </w:rPr>
        <w:t xml:space="preserve">test </w:t>
      </w:r>
      <w:r w:rsidRPr="00F61166">
        <w:rPr>
          <w:b/>
          <w:sz w:val="22"/>
          <w:szCs w:val="22"/>
          <w:u w:val="single"/>
        </w:rPr>
        <w:t xml:space="preserve">di accertamento della negativizzazione. </w:t>
      </w:r>
    </w:p>
    <w:p w:rsidR="008D1AC3" w:rsidRDefault="008D1AC3" w:rsidP="00F61166">
      <w:pPr>
        <w:pStyle w:val="Default"/>
        <w:rPr>
          <w:b/>
          <w:sz w:val="22"/>
          <w:szCs w:val="22"/>
          <w:u w:val="single"/>
        </w:rPr>
      </w:pPr>
    </w:p>
    <w:p w:rsidR="008D1AC3" w:rsidRDefault="008D1AC3" w:rsidP="00F61166">
      <w:pPr>
        <w:pStyle w:val="Default"/>
        <w:rPr>
          <w:b/>
          <w:sz w:val="22"/>
          <w:szCs w:val="22"/>
          <w:u w:val="single"/>
        </w:rPr>
      </w:pPr>
    </w:p>
    <w:p w:rsidR="008D1AC3" w:rsidRDefault="008D1AC3" w:rsidP="00F61166">
      <w:pPr>
        <w:pStyle w:val="Default"/>
        <w:rPr>
          <w:b/>
          <w:sz w:val="22"/>
          <w:szCs w:val="22"/>
          <w:u w:val="single"/>
        </w:rPr>
      </w:pPr>
    </w:p>
    <w:p w:rsidR="008D1AC3" w:rsidRDefault="008D1AC3" w:rsidP="00F61166">
      <w:pPr>
        <w:pStyle w:val="Default"/>
        <w:rPr>
          <w:b/>
          <w:sz w:val="22"/>
          <w:szCs w:val="22"/>
          <w:u w:val="single"/>
        </w:rPr>
      </w:pPr>
    </w:p>
    <w:p w:rsidR="008D1AC3" w:rsidRDefault="008D1AC3" w:rsidP="00F61166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CONTATTI STRETTI</w:t>
      </w:r>
    </w:p>
    <w:p w:rsidR="008D1AC3" w:rsidRPr="00F61166" w:rsidRDefault="008D1AC3" w:rsidP="00F61166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 coloro che hanno avuto contatti stretti con soggetti confermati positivi al SARS-CoV-2 è applicato il regime dell’</w:t>
      </w:r>
      <w:r>
        <w:rPr>
          <w:b/>
          <w:bCs/>
          <w:sz w:val="22"/>
          <w:szCs w:val="22"/>
        </w:rPr>
        <w:t>autosorveglianza</w:t>
      </w:r>
      <w:r>
        <w:rPr>
          <w:sz w:val="22"/>
          <w:szCs w:val="22"/>
        </w:rPr>
        <w:t xml:space="preserve">, </w:t>
      </w:r>
      <w:r w:rsidRPr="008D1AC3">
        <w:rPr>
          <w:sz w:val="28"/>
          <w:szCs w:val="28"/>
        </w:rPr>
        <w:t xml:space="preserve">consistente </w:t>
      </w:r>
      <w:r w:rsidRPr="008D1AC3">
        <w:rPr>
          <w:b/>
          <w:bCs/>
          <w:sz w:val="28"/>
          <w:szCs w:val="28"/>
        </w:rPr>
        <w:t xml:space="preserve">nell’obbligo di indossare dispositivi di protezione delle vie respiratorie </w:t>
      </w:r>
      <w:r w:rsidRPr="008D1AC3">
        <w:rPr>
          <w:sz w:val="28"/>
          <w:szCs w:val="28"/>
        </w:rPr>
        <w:t>di tipo FFP2, al chiuso o in presenza di assembramenti</w:t>
      </w:r>
      <w:r>
        <w:rPr>
          <w:sz w:val="22"/>
          <w:szCs w:val="22"/>
        </w:rPr>
        <w:t xml:space="preserve"> e con esclusione delle ipotesi di cui all’articolo 10-</w:t>
      </w:r>
      <w:r>
        <w:rPr>
          <w:i/>
          <w:iCs/>
          <w:sz w:val="22"/>
          <w:szCs w:val="22"/>
        </w:rPr>
        <w:t xml:space="preserve">quater </w:t>
      </w:r>
      <w:r>
        <w:rPr>
          <w:sz w:val="22"/>
          <w:szCs w:val="22"/>
        </w:rPr>
        <w:t xml:space="preserve">(Dispositivi di protezione delle vie respiratorie), commi 4 e 5 del decreto-legge n.52/2022 </w:t>
      </w:r>
      <w:r>
        <w:rPr>
          <w:sz w:val="14"/>
          <w:szCs w:val="14"/>
        </w:rPr>
        <w:t>1</w:t>
      </w:r>
      <w:r>
        <w:rPr>
          <w:sz w:val="22"/>
          <w:szCs w:val="22"/>
        </w:rPr>
        <w:t xml:space="preserve">, </w:t>
      </w:r>
      <w:r w:rsidRPr="008D1AC3">
        <w:rPr>
          <w:b/>
          <w:sz w:val="28"/>
          <w:szCs w:val="28"/>
        </w:rPr>
        <w:t xml:space="preserve">fino al decimo giorno successivo alla data dell’ultimo contatto stretto con soggetti confermati positivi al SARS-CoV-2 e di effettuare un </w:t>
      </w:r>
      <w:r w:rsidRPr="008D1AC3">
        <w:rPr>
          <w:b/>
          <w:i/>
          <w:iCs/>
          <w:sz w:val="28"/>
          <w:szCs w:val="28"/>
        </w:rPr>
        <w:t xml:space="preserve">test </w:t>
      </w:r>
      <w:r w:rsidRPr="008D1AC3">
        <w:rPr>
          <w:b/>
          <w:sz w:val="28"/>
          <w:szCs w:val="28"/>
        </w:rPr>
        <w:t>antigenico</w:t>
      </w:r>
      <w:r>
        <w:rPr>
          <w:sz w:val="22"/>
          <w:szCs w:val="22"/>
        </w:rPr>
        <w:t xml:space="preserve"> rapido o molecolare per la rilevazione di SARS-CoV-2, anche presso centri privati a ciò abilitati, </w:t>
      </w:r>
      <w:r>
        <w:rPr>
          <w:b/>
          <w:bCs/>
          <w:sz w:val="22"/>
          <w:szCs w:val="22"/>
        </w:rPr>
        <w:t xml:space="preserve">alla prima comparsa dei sintomi </w:t>
      </w:r>
      <w:r>
        <w:rPr>
          <w:sz w:val="22"/>
          <w:szCs w:val="22"/>
        </w:rPr>
        <w:t xml:space="preserve">e, </w:t>
      </w:r>
      <w:r>
        <w:rPr>
          <w:b/>
          <w:bCs/>
          <w:sz w:val="22"/>
          <w:szCs w:val="22"/>
        </w:rPr>
        <w:t>se ancora sintomatici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al quinto giorno successivo alla data dell’ultimo contatto</w:t>
      </w:r>
    </w:p>
    <w:p w:rsidR="0047580B" w:rsidRDefault="0047580B" w:rsidP="0047580B">
      <w:pPr>
        <w:pStyle w:val="normal"/>
      </w:pPr>
    </w:p>
    <w:p w:rsidR="0047580B" w:rsidRPr="00F61166" w:rsidRDefault="00F61166" w:rsidP="0047580B">
      <w:pPr>
        <w:pStyle w:val="normal"/>
        <w:rPr>
          <w:b/>
          <w:color w:val="000000"/>
          <w:sz w:val="24"/>
          <w:szCs w:val="24"/>
        </w:rPr>
      </w:pPr>
      <w:r w:rsidRPr="00F61166">
        <w:rPr>
          <w:b/>
          <w:color w:val="000000"/>
          <w:sz w:val="24"/>
          <w:szCs w:val="24"/>
        </w:rPr>
        <w:t>AMBITO SCOLASTICO</w:t>
      </w:r>
    </w:p>
    <w:p w:rsidR="0047580B" w:rsidRDefault="00F61166" w:rsidP="0047580B">
      <w:pPr>
        <w:pStyle w:val="normal"/>
      </w:pPr>
      <w:r>
        <w:t>Per la gestione dei casi Covid-19 e dei contatti stretti di casi Covid-19 in ambito scolastico e nell’ambito dei servizi educativi per l’infanzia gestiti dagli Enti locali, da altri enti pubblici e dai privati, e delle scuole dell’infanzia statali e paritarie a gestione pubblica o privata, si dovrà, quindi, fare riferimento alle indicazioni generali contenute nella circolare del Ministero della Salute prot. 37615 del 31.08.2022.</w:t>
      </w:r>
    </w:p>
    <w:p w:rsidR="0047580B" w:rsidRPr="00355946" w:rsidRDefault="00837A29" w:rsidP="0047580B">
      <w:pPr>
        <w:pStyle w:val="normal"/>
        <w:rPr>
          <w:b/>
          <w:color w:val="000000"/>
          <w:sz w:val="24"/>
          <w:szCs w:val="24"/>
        </w:rPr>
      </w:pPr>
      <w:r w:rsidRPr="00355946">
        <w:rPr>
          <w:b/>
          <w:color w:val="000000"/>
          <w:sz w:val="24"/>
          <w:szCs w:val="24"/>
        </w:rPr>
        <w:t>IN SINTESI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In estrema sintesi e senza pretesa di completezza, misure di prevenzione di base per la ripresa scolastica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sono: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rFonts w:hint="eastAsia"/>
          <w:b/>
        </w:rPr>
        <w:t></w:t>
      </w:r>
      <w:r w:rsidRPr="00837A29">
        <w:rPr>
          <w:b/>
        </w:rPr>
        <w:t xml:space="preserve"> Permanenza a scuola consentita solo in assenza di sintomi febbrili e solo in assenza di test diagnostico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per la ricerca di SARS-CoV-2 positivo;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rFonts w:hint="eastAsia"/>
          <w:b/>
        </w:rPr>
        <w:t></w:t>
      </w:r>
      <w:r w:rsidRPr="00837A29">
        <w:rPr>
          <w:b/>
        </w:rPr>
        <w:t xml:space="preserve"> Igiene delle mani ed “etichetta respiratoria” (con quest’ultimo termine si intendono in letteratura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i corretti comportamenti da mettere in atto per tenere sotto controllo il rischio di trasmissione di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microrganismi da persona a persona, quali ad esempio proteggere la bocca e il naso durante starnuti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o colpi di tosse utilizzando fazzoletti di carta, ecc.);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rFonts w:hint="eastAsia"/>
          <w:b/>
        </w:rPr>
        <w:t></w:t>
      </w:r>
      <w:r w:rsidRPr="00837A29">
        <w:rPr>
          <w:b/>
        </w:rPr>
        <w:t xml:space="preserve"> Utilizzo di dispositivi di protezione respiratoria (FFP2) per personale scolastico e alunni che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sono a rischio di sviluppare forme severe di COVID-19;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rFonts w:hint="eastAsia"/>
          <w:b/>
        </w:rPr>
        <w:t></w:t>
      </w:r>
      <w:r w:rsidRPr="00837A29">
        <w:rPr>
          <w:b/>
        </w:rPr>
        <w:t xml:space="preserve"> Sanificazione ordinaria (periodica) e straordinaria in presenza di uno o più casi confermati, secondo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le indicazioni del Rapporto ISS COVID-19 n. 12/2021, “Raccomandazioni ad interim sulla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sanificazione di strutture non sanitarie nell’attuale emergenza COVID-19: ambienti/superfici.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Aggiornamento del Rapporto ISS COVID-19 n. 25/2020. Versione del 20 maggio 2021” 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rFonts w:hint="eastAsia"/>
          <w:b/>
        </w:rPr>
        <w:t></w:t>
      </w:r>
      <w:r w:rsidRPr="00837A29">
        <w:rPr>
          <w:b/>
        </w:rPr>
        <w:t xml:space="preserve"> Strumenti per gestione casi sospetti/confermati e contatti;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rFonts w:hint="eastAsia"/>
          <w:b/>
        </w:rPr>
        <w:t></w:t>
      </w:r>
      <w:r w:rsidRPr="00837A29">
        <w:rPr>
          <w:b/>
        </w:rPr>
        <w:t xml:space="preserve"> Ricambi d’aria frequenti.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Il documento individua possibili ulteriori misure di prevenzione, da attivare, ove occorra, su disposizioni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delle autorità sanitarie, in relazione a cambiamenti del quadro epidemiologico, quali: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• Distanziamento di almeno 1 metro (ove le condizioni logistiche e strutturali lo consentano);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• Precauzioni nei momenti a rischio di aggregazione;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• Aumento frequenza sanificazione periodica;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• Gestione di attività extracurriculari e laboratori, garantendo l’attuazione di misure di prevenzione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quali distanziamento fisico, mascherine chirurgiche/FFP2, igiene delle mani, ecc. 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• Mascherine chirurgiche, o FFP2, in posizione statica e/o dinamica (da modulare nei diversi contesti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e fasi della presenza scolastica);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• Concessione palestre/locali a terzi con obbligo di sanificazione;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lastRenderedPageBreak/>
        <w:t>• Somministrazione dei pasti nelle mense con turnazione;</w:t>
      </w:r>
    </w:p>
    <w:p w:rsidR="00837A29" w:rsidRP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>• Consumo delle merende al banco.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SCUOLA DELL’INFANZIA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</w:pPr>
      <w:r>
        <w:t>Le Indicazioni richiamano le peculiarità didattiche ed educative di questi percorsi educativi e scolastici che non rendono possibile l’applicazione di alcune misure di prevenzione, sia di tipo non farmacologico (es. distanziamento fisico e utilizzo delle mascherine), che farmacologico (la vaccina</w:t>
      </w:r>
      <w:r>
        <w:t xml:space="preserve">zione anti COVID-19 è autorizzata per i bambini a partire dai 5 anni di età). 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</w:pPr>
      <w:r>
        <w:t xml:space="preserve">Fatta eccezione per le richiamate misure, non applicabili, trovano conferma le misure di prevenzione di base per la ripresa scolastica valide per tutti i gradi di istruzione. </w:t>
      </w:r>
    </w:p>
    <w:p w:rsidR="003F35BB" w:rsidRPr="003F35BB" w:rsidRDefault="003F35BB" w:rsidP="00837A2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3F35BB">
        <w:rPr>
          <w:b/>
          <w:u w:val="single"/>
        </w:rPr>
        <w:t xml:space="preserve">In ipotesi di recrudescenza della circolazione virale della SARS-CoV-2, da attivare, ove occorra, su disposizione delle autorità sanitarie, saranno possibili ulteriori misure di prevenzione, quali: 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</w:pPr>
      <w:r>
        <w:t>• Attività educative da svolgersi - compatibilmente con gli spazi disponibili e le potenzialità orga</w:t>
      </w:r>
      <w:r>
        <w:t xml:space="preserve">nizzative - prevedendo gruppi stabili di bambini; 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</w:pPr>
      <w:r>
        <w:t>• Divieto di portare negli spazi delle attività oggetti o giochi da casa, evitando l’uso promiscuo di giocattoli tra bambini appartenenti a gruppi diversi;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</w:pPr>
      <w:r>
        <w:t xml:space="preserve"> • Accoglienza e ricongiungimento, ove possibile, organizzati all’esterno e, qualora si svolgano in ambiente chiuso, provvedendo alla pulizia approfondita e all’aerazione frequente e adeguata del</w:t>
      </w:r>
      <w:r>
        <w:t xml:space="preserve">lo spazio. Accesso alla struttura con accompagnamento da parte di un solo adulto; 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</w:pPr>
      <w:r>
        <w:t xml:space="preserve">• Somministrazione dei pasti nei locali delle mense scolastiche, limitando il più possibile la promiscuità tra bambini di gruppi diversi. 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>
        <w:t>• Consumo delle merende nello stesso spazio di esperienza dedicato al gruppo dei bambini.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37A29" w:rsidRDefault="00837A29" w:rsidP="00837A2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37A29">
        <w:rPr>
          <w:b/>
        </w:rPr>
        <w:t xml:space="preserve">Le Indicazioni di cui trattasi, di cui si raccomanda puntuale lettura, sono reperibili </w:t>
      </w:r>
      <w:r w:rsidR="003F35BB">
        <w:rPr>
          <w:b/>
        </w:rPr>
        <w:t xml:space="preserve"> SUL SITO ISTITUZIONALE  e </w:t>
      </w:r>
      <w:r w:rsidRPr="00837A29">
        <w:rPr>
          <w:b/>
        </w:rPr>
        <w:t>on line</w:t>
      </w:r>
    </w:p>
    <w:p w:rsidR="003F35BB" w:rsidRDefault="003F35BB" w:rsidP="00837A2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7580B" w:rsidRDefault="003F35BB" w:rsidP="0047580B">
      <w:pPr>
        <w:pStyle w:val="normal"/>
      </w:pPr>
      <w:r>
        <w:t>https://www.iss.it/documents/20126/0/indicazioni+A.S.+2022+-+2023_versione+05.08.pdf/ c182661f-2144-6d5d-29c4-9c04c6aa02ee?t=1659721330842</w:t>
      </w:r>
    </w:p>
    <w:p w:rsidR="003F35BB" w:rsidRDefault="003F35BB" w:rsidP="0047580B">
      <w:pPr>
        <w:pStyle w:val="normal"/>
      </w:pPr>
    </w:p>
    <w:p w:rsidR="0047580B" w:rsidRDefault="0047580B" w:rsidP="0047580B">
      <w:pPr>
        <w:pStyle w:val="normal"/>
      </w:pPr>
    </w:p>
    <w:p w:rsidR="003F35BB" w:rsidRDefault="003F35BB" w:rsidP="0047580B">
      <w:pPr>
        <w:pStyle w:val="normal"/>
      </w:pPr>
      <w:r>
        <w:t>Allo scopo di migliorare la qualità dell’aria negli ambienti scolastici, le Linee guida indicano anzi</w:t>
      </w:r>
      <w:r>
        <w:t xml:space="preserve">tutto la necessità di attuare le ordinarie regole di buon comportamento, quali, ad esempio, la ventilazione delle aule attraverso l'apertura delle finestre. </w:t>
      </w:r>
    </w:p>
    <w:p w:rsidR="003F35BB" w:rsidRDefault="003F35BB" w:rsidP="0047580B">
      <w:pPr>
        <w:pStyle w:val="normal"/>
      </w:pPr>
      <w:r>
        <w:t>Sono poi da considerare - e se possibile evitare - fonti esterne di inquinanti in prossimità delle aule (es. parcheggi di mezzi a motore in prossimità delle finestre).</w:t>
      </w:r>
    </w:p>
    <w:p w:rsidR="003F35BB" w:rsidRDefault="003F35BB" w:rsidP="0047580B">
      <w:pPr>
        <w:pStyle w:val="normal"/>
      </w:pPr>
      <w:r>
        <w:t xml:space="preserve"> Il rispetto del divieto di fumo in tutta la scuola. L’assenza di arredi e materiali </w:t>
      </w:r>
      <w:r w:rsidR="0098484B">
        <w:t>inqui</w:t>
      </w:r>
      <w:r>
        <w:t xml:space="preserve">nanti. L'igiene e trattamento di pavimenti e superfici, ecc. </w:t>
      </w:r>
    </w:p>
    <w:p w:rsidR="003F35BB" w:rsidRDefault="003F35BB" w:rsidP="0047580B">
      <w:pPr>
        <w:pStyle w:val="normal"/>
      </w:pPr>
      <w:r>
        <w:t>In buona sostanza, le Linee guida raccomandano che “l'utilizzo di dispositivi aggiuntivi di sanificazione, purificazione e ventilazione sia preso in considerazione solo una volta che le misure sopra indicate in modo esemplificativo siano state identificate e intraprese, e ciononostante, sia dimostrato che la qualità dell'aria non sia adeguata”.</w:t>
      </w:r>
    </w:p>
    <w:p w:rsidR="0047580B" w:rsidRDefault="003F35BB" w:rsidP="0047580B">
      <w:pPr>
        <w:pStyle w:val="normal"/>
      </w:pPr>
      <w:r>
        <w:lastRenderedPageBreak/>
        <w:t xml:space="preserve"> Il documento indica poi la necessità di considerare possibili controindicazioni nell’uso di dispositivi aggiuntivi, quali rumori, rischi per la sicurezza, costi di acquisto e di esercizio, eventuali emissioni e consumi energetici. Si sottolinea infatti che “l'utilizzo di apparecchi di sanificazione, igienizza</w:t>
      </w:r>
      <w:r>
        <w:t>zione e purificazione dell'aria provvisti di sistemi di filtraggio delle particelle e di distruzione di microrganismi presenti nell'aria e sulle superfici negli ambienti indoor per il contrasto alla pandemia deve essere finalizzato a integrare, e non sostituire, le principali misure anti-contagio e non può prescindere da o escludere la valutazione delle condizioni microclimatiche e della qualità dell'aria indoor e outdoor”.</w:t>
      </w:r>
    </w:p>
    <w:p w:rsidR="0098484B" w:rsidRDefault="0098484B" w:rsidP="0047580B">
      <w:pPr>
        <w:pStyle w:val="normal"/>
      </w:pPr>
      <w:r>
        <w:t>Pertanto , in considerazione di quanto esposto ed allegato</w:t>
      </w:r>
      <w:r w:rsidR="00582C61">
        <w:t xml:space="preserve"> il Regolamento d’istituto è integrato con le nuove disposizioni </w:t>
      </w:r>
      <w:r>
        <w:t xml:space="preserve"> </w:t>
      </w:r>
      <w:r w:rsidR="00582C61">
        <w:t xml:space="preserve"> di Legge che il genitore è chiamato a condividere  attraverso la presa visione e accettazione in ARGO.</w:t>
      </w:r>
    </w:p>
    <w:p w:rsidR="00355946" w:rsidRDefault="00355946" w:rsidP="00582C61">
      <w:pPr>
        <w:pStyle w:val="normal"/>
        <w:jc w:val="right"/>
      </w:pPr>
    </w:p>
    <w:p w:rsidR="00582C61" w:rsidRDefault="00582C61" w:rsidP="00582C61">
      <w:pPr>
        <w:pStyle w:val="normal"/>
        <w:jc w:val="right"/>
      </w:pPr>
      <w:r>
        <w:t>Il DIRIGENTE SCOLASTICO</w:t>
      </w:r>
    </w:p>
    <w:p w:rsidR="00582C61" w:rsidRDefault="00582C61" w:rsidP="00582C61">
      <w:pPr>
        <w:pStyle w:val="normal"/>
        <w:jc w:val="right"/>
      </w:pPr>
      <w:r>
        <w:t>Maria BLONDA</w:t>
      </w:r>
    </w:p>
    <w:p w:rsidR="00582C61" w:rsidRDefault="00582C61" w:rsidP="0047580B">
      <w:pPr>
        <w:pStyle w:val="normal"/>
      </w:pPr>
      <w:r>
        <w:t xml:space="preserve"> </w:t>
      </w:r>
    </w:p>
    <w:p w:rsidR="00582C61" w:rsidRDefault="00582C61" w:rsidP="0047580B">
      <w:pPr>
        <w:pStyle w:val="normal"/>
      </w:pPr>
    </w:p>
    <w:p w:rsidR="00582C61" w:rsidRDefault="00582C61" w:rsidP="0047580B">
      <w:pPr>
        <w:pStyle w:val="normal"/>
      </w:pPr>
    </w:p>
    <w:p w:rsidR="0047580B" w:rsidRDefault="0047580B" w:rsidP="0047580B">
      <w:pPr>
        <w:pStyle w:val="normal"/>
      </w:pPr>
    </w:p>
    <w:p w:rsidR="0047580B" w:rsidRDefault="0047580B" w:rsidP="0047580B">
      <w:pPr>
        <w:pStyle w:val="normal"/>
      </w:pPr>
    </w:p>
    <w:p w:rsidR="0047580B" w:rsidRDefault="0047580B" w:rsidP="0047580B">
      <w:pPr>
        <w:pStyle w:val="normal"/>
      </w:pPr>
    </w:p>
    <w:p w:rsidR="0047580B" w:rsidRPr="00D2779E" w:rsidRDefault="0047580B" w:rsidP="0047580B">
      <w:pPr>
        <w:pStyle w:val="normal"/>
      </w:pPr>
    </w:p>
    <w:bookmarkEnd w:id="0"/>
    <w:p w:rsidR="00627D36" w:rsidRPr="008049AC" w:rsidRDefault="00627D36" w:rsidP="008049AC">
      <w:pPr>
        <w:tabs>
          <w:tab w:val="left" w:pos="1596"/>
        </w:tabs>
      </w:pPr>
    </w:p>
    <w:sectPr w:rsidR="00627D36" w:rsidRPr="008049AC" w:rsidSect="00D86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567" w:bottom="1134" w:left="1134" w:header="680" w:footer="6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E2" w:rsidRDefault="006651E2" w:rsidP="00627D36">
      <w:pPr>
        <w:spacing w:after="0" w:line="240" w:lineRule="auto"/>
      </w:pPr>
      <w:r>
        <w:separator/>
      </w:r>
    </w:p>
  </w:endnote>
  <w:endnote w:type="continuationSeparator" w:id="1">
    <w:p w:rsidR="006651E2" w:rsidRDefault="006651E2" w:rsidP="0062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6" w:rsidRDefault="00627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6" w:rsidRDefault="00627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627D36" w:rsidRDefault="003B17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P.zza San Francesco,3 74015 Martina Franca (TA)- Tel. 0804118706-0804306778 presidenza 0804723925</w:t>
    </w:r>
  </w:p>
  <w:p w:rsidR="00627D36" w:rsidRDefault="003B17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Codice meccanografico: TAIC865007-C.F.: 90215210734- IBAN:IT43D0103078931000001456655- </w:t>
    </w:r>
  </w:p>
  <w:p w:rsidR="00627D36" w:rsidRDefault="003B17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email: taic865007@istruzione.it- taic865007@pec.istruzione.it</w:t>
    </w:r>
  </w:p>
  <w:p w:rsidR="00627D36" w:rsidRDefault="00627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6" w:rsidRDefault="00627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E2" w:rsidRDefault="006651E2" w:rsidP="00627D36">
      <w:pPr>
        <w:spacing w:after="0" w:line="240" w:lineRule="auto"/>
      </w:pPr>
      <w:r>
        <w:separator/>
      </w:r>
    </w:p>
  </w:footnote>
  <w:footnote w:type="continuationSeparator" w:id="1">
    <w:p w:rsidR="006651E2" w:rsidRDefault="006651E2" w:rsidP="0062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6" w:rsidRDefault="00627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6" w:rsidRDefault="003B17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-720084</wp:posOffset>
          </wp:positionH>
          <wp:positionV relativeFrom="paragraph">
            <wp:posOffset>-430526</wp:posOffset>
          </wp:positionV>
          <wp:extent cx="7538720" cy="10858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36" w:rsidRDefault="00627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A3F0F"/>
    <w:multiLevelType w:val="hybridMultilevel"/>
    <w:tmpl w:val="C1D2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6F48"/>
    <w:multiLevelType w:val="hybridMultilevel"/>
    <w:tmpl w:val="0706F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3805"/>
    <w:multiLevelType w:val="multilevel"/>
    <w:tmpl w:val="CE8416B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F5B28"/>
    <w:multiLevelType w:val="hybridMultilevel"/>
    <w:tmpl w:val="DC4A9C66"/>
    <w:lvl w:ilvl="0" w:tplc="06DA2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FBA34C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30C2E"/>
    <w:multiLevelType w:val="hybridMultilevel"/>
    <w:tmpl w:val="94760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F0C65"/>
    <w:multiLevelType w:val="hybridMultilevel"/>
    <w:tmpl w:val="DEBC5026"/>
    <w:lvl w:ilvl="0" w:tplc="4D947B2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2061A"/>
    <w:multiLevelType w:val="hybridMultilevel"/>
    <w:tmpl w:val="9B2A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1E86"/>
    <w:multiLevelType w:val="multilevel"/>
    <w:tmpl w:val="49FA7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36"/>
    <w:rsid w:val="00011AA4"/>
    <w:rsid w:val="000147EB"/>
    <w:rsid w:val="00042518"/>
    <w:rsid w:val="000B4467"/>
    <w:rsid w:val="001D7FC1"/>
    <w:rsid w:val="00203853"/>
    <w:rsid w:val="00276BAB"/>
    <w:rsid w:val="002E2E97"/>
    <w:rsid w:val="003373E0"/>
    <w:rsid w:val="00355946"/>
    <w:rsid w:val="003B17A8"/>
    <w:rsid w:val="003F35BB"/>
    <w:rsid w:val="0047580B"/>
    <w:rsid w:val="00496073"/>
    <w:rsid w:val="004B41FC"/>
    <w:rsid w:val="004E6DBC"/>
    <w:rsid w:val="00582C61"/>
    <w:rsid w:val="00627D36"/>
    <w:rsid w:val="00646DF6"/>
    <w:rsid w:val="00646E21"/>
    <w:rsid w:val="0064765D"/>
    <w:rsid w:val="00647A38"/>
    <w:rsid w:val="006651E2"/>
    <w:rsid w:val="00732D83"/>
    <w:rsid w:val="007E7CA3"/>
    <w:rsid w:val="00802CB9"/>
    <w:rsid w:val="008049AC"/>
    <w:rsid w:val="00836330"/>
    <w:rsid w:val="00837A29"/>
    <w:rsid w:val="00844632"/>
    <w:rsid w:val="00860EE3"/>
    <w:rsid w:val="008D1AC3"/>
    <w:rsid w:val="0098484B"/>
    <w:rsid w:val="00A435A6"/>
    <w:rsid w:val="00AB1999"/>
    <w:rsid w:val="00C424E1"/>
    <w:rsid w:val="00D2779E"/>
    <w:rsid w:val="00D475CE"/>
    <w:rsid w:val="00D82EF4"/>
    <w:rsid w:val="00D86AF1"/>
    <w:rsid w:val="00DB5864"/>
    <w:rsid w:val="00E20C66"/>
    <w:rsid w:val="00E611E2"/>
    <w:rsid w:val="00EB1BE9"/>
    <w:rsid w:val="00EF6E24"/>
    <w:rsid w:val="00F173F9"/>
    <w:rsid w:val="00F6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AF4"/>
  </w:style>
  <w:style w:type="paragraph" w:styleId="Titolo1">
    <w:name w:val="heading 1"/>
    <w:basedOn w:val="Normale"/>
    <w:link w:val="Titolo1Carattere"/>
    <w:uiPriority w:val="1"/>
    <w:qFormat/>
    <w:rsid w:val="00015B2F"/>
    <w:pPr>
      <w:widowControl w:val="0"/>
      <w:autoSpaceDE w:val="0"/>
      <w:autoSpaceDN w:val="0"/>
      <w:spacing w:after="0" w:line="240" w:lineRule="auto"/>
      <w:ind w:left="544" w:hanging="557"/>
      <w:outlineLvl w:val="0"/>
    </w:pPr>
    <w:rPr>
      <w:rFonts w:ascii="Comic Sans MS" w:eastAsia="Comic Sans MS" w:hAnsi="Comic Sans MS" w:cs="Comic Sans MS"/>
      <w:sz w:val="20"/>
      <w:szCs w:val="20"/>
      <w:u w:val="single" w:color="000000"/>
      <w:lang w:bidi="it-IT"/>
    </w:rPr>
  </w:style>
  <w:style w:type="paragraph" w:styleId="Titolo2">
    <w:name w:val="heading 2"/>
    <w:basedOn w:val="normal"/>
    <w:next w:val="normal"/>
    <w:rsid w:val="00C250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250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250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250D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250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627D36"/>
  </w:style>
  <w:style w:type="table" w:customStyle="1" w:styleId="TableNormal">
    <w:name w:val="Table Normal"/>
    <w:rsid w:val="00627D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250D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DE7D1E"/>
  </w:style>
  <w:style w:type="table" w:customStyle="1" w:styleId="TableNormal0">
    <w:name w:val="Table Normal"/>
    <w:rsid w:val="00DE7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E817F1"/>
  </w:style>
  <w:style w:type="table" w:customStyle="1" w:styleId="TableNormal1">
    <w:name w:val="Table Normal"/>
    <w:rsid w:val="00E81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250D9"/>
  </w:style>
  <w:style w:type="table" w:customStyle="1" w:styleId="TableNormal2">
    <w:name w:val="Table Normal"/>
    <w:rsid w:val="00C250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1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character" w:customStyle="1" w:styleId="Titolo1Carattere">
    <w:name w:val="Titolo 1 Carattere"/>
    <w:basedOn w:val="Carpredefinitoparagrafo"/>
    <w:link w:val="Titolo1"/>
    <w:uiPriority w:val="1"/>
    <w:rsid w:val="00015B2F"/>
    <w:rPr>
      <w:rFonts w:ascii="Comic Sans MS" w:eastAsia="Comic Sans MS" w:hAnsi="Comic Sans MS" w:cs="Comic Sans MS"/>
      <w:sz w:val="20"/>
      <w:szCs w:val="20"/>
      <w:u w:val="single" w:color="00000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15B2F"/>
    <w:pPr>
      <w:widowControl w:val="0"/>
      <w:autoSpaceDE w:val="0"/>
      <w:autoSpaceDN w:val="0"/>
      <w:spacing w:after="0" w:line="240" w:lineRule="auto"/>
    </w:pPr>
    <w:rPr>
      <w:rFonts w:ascii="Goudy Old Style" w:eastAsia="Goudy Old Style" w:hAnsi="Goudy Old Style" w:cs="Goudy Old Style"/>
      <w:sz w:val="16"/>
      <w:szCs w:val="16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15B2F"/>
    <w:rPr>
      <w:rFonts w:ascii="Goudy Old Style" w:eastAsia="Goudy Old Style" w:hAnsi="Goudy Old Style" w:cs="Goudy Old Style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40F1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D90"/>
    <w:rPr>
      <w:rFonts w:ascii="Tahoma" w:hAnsi="Tahoma" w:cs="Tahoma"/>
      <w:sz w:val="16"/>
      <w:szCs w:val="16"/>
    </w:rPr>
  </w:style>
  <w:style w:type="paragraph" w:styleId="Sottotitolo">
    <w:name w:val="Subtitle"/>
    <w:basedOn w:val="normal0"/>
    <w:next w:val="normal0"/>
    <w:rsid w:val="00627D3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33E6B"/>
    <w:pPr>
      <w:ind w:left="720"/>
      <w:contextualSpacing/>
    </w:pPr>
  </w:style>
  <w:style w:type="paragraph" w:styleId="Nessunaspaziatura">
    <w:name w:val="No Spacing"/>
    <w:uiPriority w:val="1"/>
    <w:qFormat/>
    <w:rsid w:val="006476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GridTable4Accent1">
    <w:name w:val="Grid Table 4 Accent 1"/>
    <w:basedOn w:val="Tabellanormale"/>
    <w:uiPriority w:val="49"/>
    <w:rsid w:val="00D86A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D2779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VQ6RdtnSlxkf3Zt6JY0JWqLUw==">AMUW2mVd2Fl+bepBH+0Cq1r4dn8DWEPZnhyhI4IRooHF+DL0PRv91dyra4nbP0ksPelrNxvOrG01mhNWkj1WnothBuwHneinhT+Yt+O2Ljtk760W+fCWkVg=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Ospite</cp:lastModifiedBy>
  <cp:revision>2</cp:revision>
  <cp:lastPrinted>2022-09-12T08:39:00Z</cp:lastPrinted>
  <dcterms:created xsi:type="dcterms:W3CDTF">2022-09-12T09:51:00Z</dcterms:created>
  <dcterms:modified xsi:type="dcterms:W3CDTF">2022-09-12T09:51:00Z</dcterms:modified>
</cp:coreProperties>
</file>